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17F9CEB3" w:rsidR="005A7127" w:rsidRDefault="006603B9" w:rsidP="006603B9">
      <w:hyperlink r:id="rId6" w:history="1">
        <w:r w:rsidRPr="00CD1F4C">
          <w:rPr>
            <w:rStyle w:val="Collegamentoipertestuale"/>
          </w:rPr>
          <w:t>https://www.businesscommunity.it/blog/leggi.php?fileb=15Feb2025GrosPietro_Intesa_Sanpaolo_l039Italia_guida_la_riscossa_finanziaria_postcrisi_delle_banche_europpe.txt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community.it/blog/leggi.php?fileb=15Feb2025GrosPietro_Intesa_Sanpaolo_l039Italia_guida_la_riscossa_finanziaria_postcrisi_delle_banche_europpe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2025-02-20T14:07:00Z</dcterms:created>
  <dcterms:modified xsi:type="dcterms:W3CDTF">2025-02-20T14:08:00Z</dcterms:modified>
</cp:coreProperties>
</file>